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387</w:t>
      </w:r>
      <w:r>
        <w:rPr>
          <w:rFonts w:ascii="Times New Roman" w:eastAsia="Times New Roman" w:hAnsi="Times New Roman" w:cs="Times New Roman"/>
        </w:rPr>
        <w:t>-2003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righ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Нефтеюганск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2 Нефтеюганского судебного района Ханты-Мансийского автономного округа – Югры Е.А. 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мирового судьи судебного участка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(ХМАО-Югра,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>, 1 микрорайон, дом 30)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дело об административном правонарушении предусмотренного ч.1 ст. 15.33.2 Кодекса Российской Федерации об административных правонарушениях в отношении: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президента МОО «Нефтеюганский городской молдавский культурный центр «Наш дом» </w:t>
      </w:r>
      <w:r>
        <w:rPr>
          <w:rFonts w:ascii="Times New Roman" w:eastAsia="Times New Roman" w:hAnsi="Times New Roman" w:cs="Times New Roman"/>
          <w:sz w:val="27"/>
          <w:szCs w:val="27"/>
        </w:rPr>
        <w:t>Чорап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Татьяны Михайловны, </w:t>
      </w:r>
      <w:r>
        <w:rPr>
          <w:rStyle w:val="cat-ExternalSystemDefinedgrp-35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5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6rplc-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гражданки </w:t>
      </w:r>
      <w:r>
        <w:rPr>
          <w:rStyle w:val="cat-UserDefinedgrp-37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зарегистрированной по адресу: </w:t>
      </w:r>
      <w:r>
        <w:rPr>
          <w:rStyle w:val="cat-UserDefinedgrp-38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01: </w:t>
      </w:r>
      <w:r>
        <w:rPr>
          <w:rStyle w:val="cat-ExternalSystem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3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МОО «Нефтеюганский городской молдавский культурный центр «Наш дом»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ХМАО–Югра,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мкрн.11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, пом.</w:t>
      </w:r>
      <w:r>
        <w:rPr>
          <w:rFonts w:ascii="Times New Roman" w:eastAsia="Times New Roman" w:hAnsi="Times New Roman" w:cs="Times New Roman"/>
          <w:sz w:val="28"/>
          <w:szCs w:val="28"/>
        </w:rPr>
        <w:t>17,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единой формы сведений,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>
        <w:rPr>
          <w:rFonts w:ascii="Times New Roman" w:eastAsia="Times New Roman" w:hAnsi="Times New Roman" w:cs="Times New Roman"/>
          <w:sz w:val="28"/>
          <w:szCs w:val="28"/>
        </w:rPr>
        <w:t>, не предоставила сведения по форме ЕФС-1, раздел 1, подраздел 1.2 (Стаж)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застрахованн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2023 год. Срок предоставления сведений до 25.01.2024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предоставлены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01.02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spacing w:before="0" w:after="0"/>
        <w:ind w:left="142" w:hanging="14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eastAsia="Times New Roman" w:hAnsi="Times New Roman" w:cs="Times New Roman"/>
          <w:sz w:val="28"/>
          <w:szCs w:val="28"/>
        </w:rPr>
        <w:t>причинах неявки суду не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Style w:val="cat-UserDefinedgrp-39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.03.2024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которому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Т.М., являясь президентом МОО «Нефтеюганский городской молдавский культурный центр «Наш дом», расположенного по адресу: ХМАО–Югра, </w:t>
      </w:r>
      <w:r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мкрн.11А, д.22, пом.17, нарушила срок предоставления единой формы сведений, предусмотренной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1-3 п.2 и п.3 ст.11 Федерального закона от 1 апреля 1996 г. № 27-ФЗ «Об индивидуальном (персонифицированном) учете в системах обязательного пенсионного страхования и обязательного социального страхования», не предоставила сведения по форме ЕФС-1, раздел 1, подраздел 1.2 (Стаж) в отношении 4 застрахованных лиц за 2023 год. Срок предоставления сведений до 25.01.2024, фактически сведения были предоставлены 01.02.2024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ротокол составлен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составления протокола;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уведомлени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составлении протокола об административном правонарушении №</w:t>
      </w:r>
      <w:r>
        <w:rPr>
          <w:rStyle w:val="cat-UserDefinedgrp-40rplc-3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- извещени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доставке;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- списк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внутренних почтовых отправлений;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отслеживании отправления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выписк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свидетельствующ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МОО «Нефтеюганский городской молдавский культурный центр «Наш дом»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должностному лицу организации из выписки из ЕГРЮЛ, из которой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президентом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МОО «Нефтеюганский городской молдавский культурный центр «Наш дом»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копи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формы ЕФС-1 с датой </w:t>
      </w:r>
      <w:r>
        <w:rPr>
          <w:rFonts w:ascii="Times New Roman" w:eastAsia="Times New Roman" w:hAnsi="Times New Roman" w:cs="Times New Roman"/>
          <w:sz w:val="28"/>
          <w:szCs w:val="28"/>
        </w:rPr>
        <w:t>подачи 01.02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выявлении правонарушения в сфере законодательства РФ об индивидуальном (персонифицированном) учете в системах обязательного пенсионного страхования и обязательного социального страхования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.02.2024.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Приказу Социального фонда Российской Федерации от 17.11.2023 № 2281 «Об утверждении единой формы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(ЕФС-1)» и порядка ее заполнения», а также п.2 ст. 8 Федерального закона от 01.04.1996 №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"Об индивидуальном (персонифицированном) учете в системах обязательного пенсионного страхования и обязательного социального страхования"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ый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01.04.1996 № 27-</w:t>
      </w:r>
      <w:r>
        <w:rPr>
          <w:rFonts w:ascii="Times New Roman" w:eastAsia="Times New Roman" w:hAnsi="Times New Roman" w:cs="Times New Roman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страх</w:t>
      </w:r>
      <w:r>
        <w:rPr>
          <w:rFonts w:ascii="Times New Roman" w:eastAsia="Times New Roman" w:hAnsi="Times New Roman" w:cs="Times New Roman"/>
          <w:sz w:val="28"/>
          <w:szCs w:val="28"/>
        </w:rPr>
        <w:t>ователь представляет в органы Фонда сведения для индивидуального (персонифицированного) учета в составе единой формы сведений.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Единая форма сведений и порядок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</w:t>
      </w:r>
      <w:r>
        <w:rPr>
          <w:rFonts w:ascii="Times New Roman" w:eastAsia="Times New Roman" w:hAnsi="Times New Roman" w:cs="Times New Roman"/>
          <w:sz w:val="28"/>
          <w:szCs w:val="28"/>
        </w:rPr>
        <w:t>Форматы единой формы сведений определяются Фондом.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</w:rPr>
        <w:t>. 1-3 п. 2 ст. 11 Федерального закона от 01.04.1996 № 27-ФЗ, а также порядки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-ГПХ (гражданско-правовой характер), ГПД - гражданско-правовой договор),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1) страховой номер индивидуального лицевого счета; 2) фамилию, имя и отчество; 3) периоды работы (деятельности), в том числе периоды работы (деятельности), включаемые в стаж для определения права на досрочное назначение пенсии или на повышение фиксированной выплаты к пенсии (далее - форма ЕФС-1 раздел 1 подраздел 1.2).</w:t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3 ст. 11 Федерального закона от 01.04.1996 № 27-ФЗ, форма ЕФС-1. раздел 1, подраздел 1.2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 застрахованных лиц представляется страхователями по окончании календарного года не позднее 25-го числа месяца, следующего за отчетным периодом.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 сведения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01.02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нарушение срока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судом установлены обстоятельства, подлежащие выяснению по административному делу в силу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ст.26.1 КоАП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Доказательства, собранные по делу, являются допустимыми, относимыми и достаточными для вывода о виновности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 в совершении административного правонарушения,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которое предусмотрена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ч.1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ст.15.33.2 КоАП 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Чорап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судья квалифицирует по ч.1 ст. 15.33.2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частью 2 настоящей статьи.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</w:t>
      </w:r>
      <w:r>
        <w:rPr>
          <w:rFonts w:ascii="Times New Roman" w:eastAsia="Times New Roman" w:hAnsi="Times New Roman" w:cs="Times New Roman"/>
          <w:sz w:val="28"/>
          <w:szCs w:val="28"/>
        </w:rPr>
        <w:t>, отягчающих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предусмотренных ст.4.2</w:t>
      </w:r>
      <w:r>
        <w:rPr>
          <w:rFonts w:ascii="Times New Roman" w:eastAsia="Times New Roman" w:hAnsi="Times New Roman" w:cs="Times New Roman"/>
          <w:sz w:val="28"/>
          <w:szCs w:val="28"/>
        </w:rPr>
        <w:t>, 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мировой судья не усматривает.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президента МОО «Нефтеюганский городской молдавский культурный центр «Наш дом» </w:t>
      </w:r>
      <w:r>
        <w:rPr>
          <w:rFonts w:ascii="Times New Roman" w:eastAsia="Times New Roman" w:hAnsi="Times New Roman" w:cs="Times New Roman"/>
          <w:sz w:val="27"/>
          <w:szCs w:val="27"/>
        </w:rPr>
        <w:t>Чорап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Татьяны Михайловны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ч.1 ст. 15.33.2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размере 300 (триста) рублей.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Реквизиты для о</w:t>
      </w:r>
      <w:r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штрафа: счет 03100643000000018700, </w:t>
      </w:r>
      <w:r>
        <w:rPr>
          <w:rFonts w:ascii="Times New Roman" w:eastAsia="Times New Roman" w:hAnsi="Times New Roman" w:cs="Times New Roman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z w:val="28"/>
          <w:szCs w:val="28"/>
        </w:rPr>
        <w:t>р.счет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 УФК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Ханты-Мансийскому автономному округу - Югре (ОСФР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ХМАО</w:t>
      </w:r>
      <w:r>
        <w:rPr>
          <w:rFonts w:ascii="Times New Roman" w:eastAsia="Times New Roman" w:hAnsi="Times New Roman" w:cs="Times New Roman"/>
          <w:sz w:val="28"/>
          <w:szCs w:val="28"/>
        </w:rPr>
        <w:t>-Югре л/</w:t>
      </w:r>
      <w:r>
        <w:rPr>
          <w:rFonts w:ascii="Times New Roman" w:eastAsia="Times New Roman" w:hAnsi="Times New Roman" w:cs="Times New Roman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04874Ф87010</w:t>
      </w:r>
      <w:r>
        <w:rPr>
          <w:rFonts w:ascii="Times New Roman" w:eastAsia="Times New Roman" w:hAnsi="Times New Roman" w:cs="Times New Roman"/>
          <w:sz w:val="28"/>
          <w:szCs w:val="28"/>
        </w:rPr>
        <w:t>), ИНН 860100</w:t>
      </w:r>
      <w:r>
        <w:rPr>
          <w:rFonts w:ascii="Times New Roman" w:eastAsia="Times New Roman" w:hAnsi="Times New Roman" w:cs="Times New Roman"/>
          <w:sz w:val="28"/>
          <w:szCs w:val="28"/>
        </w:rPr>
        <w:t>2078, КПП 8601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001,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Банк получателя РКЦ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//УФК по ХМАО-Югре </w:t>
      </w:r>
      <w:r>
        <w:rPr>
          <w:rFonts w:ascii="Times New Roman" w:eastAsia="Times New Roman" w:hAnsi="Times New Roman" w:cs="Times New Roman"/>
          <w:sz w:val="28"/>
          <w:szCs w:val="28"/>
        </w:rPr>
        <w:t>г.Ханты-Мансийск</w:t>
      </w:r>
      <w:r>
        <w:rPr>
          <w:rFonts w:ascii="Times New Roman" w:eastAsia="Times New Roman" w:hAnsi="Times New Roman" w:cs="Times New Roman"/>
          <w:sz w:val="28"/>
          <w:szCs w:val="28"/>
        </w:rPr>
        <w:t>, БИК 007162163, КБК 79711601230060000140,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ОКТМО 71874000, УИН </w:t>
      </w:r>
      <w:r>
        <w:rPr>
          <w:rFonts w:ascii="Times New Roman" w:eastAsia="Times New Roman" w:hAnsi="Times New Roman" w:cs="Times New Roman"/>
          <w:sz w:val="28"/>
          <w:szCs w:val="28"/>
        </w:rPr>
        <w:t>79702700000000116261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статьей 31.5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</w:rPr>
        <w:t>АП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Е.А.Таскаева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7">
    <w:name w:val="cat-ExternalSystemDefined grp-35 rplc-7"/>
    <w:basedOn w:val="DefaultParagraphFont"/>
  </w:style>
  <w:style w:type="character" w:customStyle="1" w:styleId="cat-PassportDatagrp-25rplc-8">
    <w:name w:val="cat-PassportData grp-25 rplc-8"/>
    <w:basedOn w:val="DefaultParagraphFont"/>
  </w:style>
  <w:style w:type="character" w:customStyle="1" w:styleId="cat-UserDefinedgrp-36rplc-9">
    <w:name w:val="cat-UserDefined grp-36 rplc-9"/>
    <w:basedOn w:val="DefaultParagraphFont"/>
  </w:style>
  <w:style w:type="character" w:customStyle="1" w:styleId="cat-UserDefinedgrp-37rplc-11">
    <w:name w:val="cat-UserDefined grp-37 rplc-11"/>
    <w:basedOn w:val="DefaultParagraphFont"/>
  </w:style>
  <w:style w:type="character" w:customStyle="1" w:styleId="cat-UserDefinedgrp-38rplc-12">
    <w:name w:val="cat-UserDefined grp-38 rplc-12"/>
    <w:basedOn w:val="DefaultParagraphFont"/>
  </w:style>
  <w:style w:type="character" w:customStyle="1" w:styleId="cat-ExternalSystemDefinedgrp-34rplc-14">
    <w:name w:val="cat-ExternalSystemDefined grp-34 rplc-14"/>
    <w:basedOn w:val="DefaultParagraphFont"/>
  </w:style>
  <w:style w:type="character" w:customStyle="1" w:styleId="cat-ExternalSystemDefinedgrp-33rplc-16">
    <w:name w:val="cat-ExternalSystemDefined grp-33 rplc-16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40rplc-37">
    <w:name w:val="cat-UserDefined grp-40 rplc-37"/>
    <w:basedOn w:val="DefaultParagraphFont"/>
  </w:style>
  <w:style w:type="character" w:customStyle="1" w:styleId="cat-UserDefinedgrp-41rplc-60">
    <w:name w:val="cat-UserDefined grp-41 rplc-60"/>
    <w:basedOn w:val="DefaultParagraphFont"/>
  </w:style>
  <w:style w:type="character" w:customStyle="1" w:styleId="cat-UserDefinedgrp-42rplc-62">
    <w:name w:val="cat-UserDefined grp-42 rplc-6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rospravosudie.com/law/&#1057;&#1090;&#1072;&#1090;&#1100;&#1103;_26.1_&#1050;&#1086;&#1040;&#1055;_&#1056;&#1060;" TargetMode="External" /><Relationship Id="rId5" Type="http://schemas.openxmlformats.org/officeDocument/2006/relationships/hyperlink" Target="https://rospravosudie.com/law/&#1057;&#1090;&#1072;&#1090;&#1100;&#1103;_15.33_&#1050;&#1086;&#1040;&#1055;_&#1056;&#1060;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